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69" w:rsidRDefault="00827D69" w:rsidP="00007118">
      <w:pPr>
        <w:pStyle w:val="Title"/>
      </w:pPr>
      <w:r>
        <w:t>CN Family Suite Accounting Integration</w:t>
      </w:r>
    </w:p>
    <w:p w:rsidR="00827D69" w:rsidRDefault="00827D69" w:rsidP="00827D69">
      <w:r>
        <w:t xml:space="preserve">The accounting integration allows </w:t>
      </w:r>
      <w:r w:rsidR="00D856BC">
        <w:t>you</w:t>
      </w:r>
      <w:r>
        <w:t xml:space="preserve"> to connect their</w:t>
      </w:r>
      <w:r w:rsidR="00364067">
        <w:t xml:space="preserve"> ConnectNow Family S</w:t>
      </w:r>
      <w:r>
        <w:t>uite database to their</w:t>
      </w:r>
      <w:r w:rsidR="00364067">
        <w:t xml:space="preserve"> ConnectNow A</w:t>
      </w:r>
      <w:r>
        <w:t>ccounting databa</w:t>
      </w:r>
      <w:r w:rsidR="00D856BC">
        <w:t>se.  This prevents you</w:t>
      </w:r>
      <w:r>
        <w:t xml:space="preserve"> from having to do double entry of offering information</w:t>
      </w:r>
      <w:r w:rsidR="00DD5B38">
        <w:t>.</w:t>
      </w:r>
      <w:r w:rsidR="00A87DDB">
        <w:t xml:space="preserve">  This functionality can only be utilized if you use both ParishSOFT ConnectNow Family Suite, Parishsoft ConnectNow Accounting.  </w:t>
      </w:r>
      <w:r w:rsidR="00DD5B38">
        <w:t>There are 3 major steps to this process</w:t>
      </w:r>
      <w:r w:rsidR="00355157">
        <w:t>:</w:t>
      </w:r>
      <w:r w:rsidR="00DD5B38">
        <w:t xml:space="preserve"> 1. Integrating the databases at the Parent organization level or the Individual organization level. 2. Enabling a users</w:t>
      </w:r>
      <w:r w:rsidR="00355157">
        <w:t>’</w:t>
      </w:r>
      <w:r w:rsidR="00DD5B38">
        <w:t xml:space="preserve"> </w:t>
      </w:r>
      <w:r w:rsidR="00355157">
        <w:t>permissions</w:t>
      </w:r>
      <w:r w:rsidR="00DD5B38">
        <w:t xml:space="preserve">. 3. Mappings your funds and your batches. </w:t>
      </w:r>
    </w:p>
    <w:p w:rsidR="00007118" w:rsidRDefault="00007118" w:rsidP="00364067">
      <w:pPr>
        <w:pStyle w:val="Title"/>
        <w:spacing w:after="0"/>
      </w:pPr>
      <w:r>
        <w:t>Organization Integration</w:t>
      </w:r>
    </w:p>
    <w:p w:rsidR="00DD5B38" w:rsidRDefault="00DD5B38" w:rsidP="00364067">
      <w:pPr>
        <w:spacing w:after="0" w:line="240" w:lineRule="auto"/>
      </w:pPr>
      <w:r>
        <w:t xml:space="preserve">Before you can </w:t>
      </w:r>
      <w:r w:rsidR="00355157">
        <w:t>e</w:t>
      </w:r>
      <w:r>
        <w:t>nable a users</w:t>
      </w:r>
      <w:r w:rsidR="00355157">
        <w:t>'</w:t>
      </w:r>
      <w:r>
        <w:t xml:space="preserve"> permissions you must integrate the databases.</w:t>
      </w:r>
      <w:r w:rsidR="00D856BC">
        <w:t xml:space="preserve">  To do this you must have administrative </w:t>
      </w:r>
      <w:r w:rsidR="00355157">
        <w:t>permissions</w:t>
      </w:r>
      <w:r w:rsidR="00D856BC">
        <w:t>.</w:t>
      </w:r>
    </w:p>
    <w:p w:rsidR="00007118" w:rsidRDefault="00007118" w:rsidP="00364067">
      <w:pPr>
        <w:pStyle w:val="ListParagraph"/>
        <w:numPr>
          <w:ilvl w:val="0"/>
          <w:numId w:val="1"/>
        </w:numPr>
        <w:spacing w:after="0" w:line="240" w:lineRule="auto"/>
      </w:pPr>
      <w:r>
        <w:t>Login as organization administrator and navigate to Administration &gt; Organizations.</w:t>
      </w:r>
    </w:p>
    <w:p w:rsidR="003B6474" w:rsidRDefault="003B6474" w:rsidP="00364067">
      <w:pPr>
        <w:pStyle w:val="ListParagraph"/>
        <w:numPr>
          <w:ilvl w:val="0"/>
          <w:numId w:val="1"/>
        </w:numPr>
        <w:spacing w:after="0" w:line="240" w:lineRule="auto"/>
      </w:pPr>
      <w:r>
        <w:t>Select organization from list and click Edit Organization Record.</w:t>
      </w:r>
    </w:p>
    <w:p w:rsidR="00DD5B38" w:rsidRDefault="00AA3DF7">
      <w:r>
        <w:rPr>
          <w:noProof/>
        </w:rPr>
        <w:pict>
          <v:rect id="_x0000_s1029" style="position:absolute;margin-left:97.05pt;margin-top:36.75pt;width:33.8pt;height:8.75pt;z-index:251661312" filled="f" strokecolor="red" strokeweight="1pt"/>
        </w:pict>
      </w:r>
      <w:r>
        <w:rPr>
          <w:noProof/>
        </w:rPr>
        <w:pict>
          <v:rect id="_x0000_s1028" style="position:absolute;margin-left:67.2pt;margin-top:27.95pt;width:35.7pt;height:6.85pt;z-index:251660288" filled="f" strokecolor="red" strokeweight="1pt"/>
        </w:pict>
      </w:r>
      <w:r>
        <w:rPr>
          <w:noProof/>
        </w:rPr>
        <w:pict>
          <v:rect id="_x0000_s1027" style="position:absolute;margin-left:263.7pt;margin-top:63.55pt;width:56.35pt;height:9.4pt;z-index:251659264" filled="f" strokecolor="red" strokeweight="1.5pt"/>
        </w:pict>
      </w:r>
      <w:r w:rsidR="00007118">
        <w:rPr>
          <w:noProof/>
        </w:rPr>
        <w:drawing>
          <wp:inline distT="0" distB="0" distL="0" distR="0">
            <wp:extent cx="4119892" cy="30771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950" cy="307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BC" w:rsidRDefault="003B6474" w:rsidP="00D856BC">
      <w:pPr>
        <w:spacing w:after="0"/>
      </w:pPr>
      <w:r>
        <w:t>Enter</w:t>
      </w:r>
      <w:r w:rsidR="00D856BC">
        <w:t xml:space="preserve"> CNA Database ID and click “Save”.  If you do not know your ConnectNow Accounting Database ID please contact ParishSOFT Support. </w:t>
      </w:r>
    </w:p>
    <w:p w:rsidR="00007118" w:rsidRDefault="00AA3DF7" w:rsidP="00D856BC">
      <w:pPr>
        <w:spacing w:after="0"/>
      </w:pPr>
      <w:r>
        <w:rPr>
          <w:noProof/>
        </w:rPr>
        <w:pict>
          <v:rect id="_x0000_s1082" style="position:absolute;margin-left:125.55pt;margin-top:177.1pt;width:23pt;height:12.55pt;z-index:251712512" filled="f" strokecolor="red" strokeweight="1.5pt"/>
        </w:pict>
      </w:r>
      <w:r>
        <w:rPr>
          <w:noProof/>
        </w:rPr>
        <w:pict>
          <v:rect id="_x0000_s1081" style="position:absolute;margin-left:58.6pt;margin-top:90pt;width:51.9pt;height:9.4pt;z-index:251711488" filled="f" strokecolor="red" strokeweight="1.5pt"/>
        </w:pict>
      </w:r>
      <w:r w:rsidR="00007118">
        <w:rPr>
          <w:noProof/>
        </w:rPr>
        <w:drawing>
          <wp:inline distT="0" distB="0" distL="0" distR="0">
            <wp:extent cx="3702160" cy="248986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949" cy="24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18" w:rsidRDefault="00007118" w:rsidP="00D856BC">
      <w:pPr>
        <w:spacing w:after="0"/>
      </w:pPr>
      <w:r>
        <w:t>At this point, the CN Membership and CN Accounting applications are integrated at the organization level.</w:t>
      </w:r>
      <w:r>
        <w:br w:type="page"/>
      </w:r>
    </w:p>
    <w:p w:rsidR="00007118" w:rsidRDefault="003B6474" w:rsidP="00007118">
      <w:pPr>
        <w:pStyle w:val="Title"/>
      </w:pPr>
      <w:r>
        <w:lastRenderedPageBreak/>
        <w:t xml:space="preserve">Enabling User </w:t>
      </w:r>
      <w:r w:rsidR="00355157">
        <w:t>Permissions</w:t>
      </w:r>
      <w:r>
        <w:t xml:space="preserve"> </w:t>
      </w:r>
    </w:p>
    <w:p w:rsidR="00F84363" w:rsidRDefault="00007118">
      <w:r>
        <w:t xml:space="preserve">Login as </w:t>
      </w:r>
      <w:r w:rsidR="00D856BC">
        <w:t>an</w:t>
      </w:r>
      <w:r>
        <w:t xml:space="preserve"> administrator and n</w:t>
      </w:r>
      <w:r w:rsidR="00F84363">
        <w:t>avigate to Administration &gt; Manage Staff</w:t>
      </w:r>
      <w:r w:rsidR="00D856BC">
        <w:t>.</w:t>
      </w:r>
    </w:p>
    <w:p w:rsidR="00C80247" w:rsidRDefault="00C80247">
      <w:r>
        <w:t>Select a staff record to open the assignment access rights.</w:t>
      </w:r>
    </w:p>
    <w:p w:rsidR="00F84363" w:rsidRDefault="00AA3DF7">
      <w:r>
        <w:rPr>
          <w:noProof/>
        </w:rPr>
        <w:pict>
          <v:rect id="_x0000_s1032" style="position:absolute;margin-left:190.25pt;margin-top:32.2pt;width:46.35pt;height:11.65pt;z-index:251664384" filled="f" strokecolor="red" strokeweight="1.5pt"/>
        </w:pict>
      </w:r>
      <w:r>
        <w:rPr>
          <w:noProof/>
        </w:rPr>
        <w:pict>
          <v:rect id="_x0000_s1030" style="position:absolute;margin-left:27.85pt;margin-top:143pt;width:36.95pt;height:11.65pt;z-index:251662336" filled="f" strokecolor="red" strokeweight="1.5pt"/>
        </w:pict>
      </w:r>
      <w:r>
        <w:rPr>
          <w:noProof/>
        </w:rPr>
        <w:pict>
          <v:rect id="_x0000_s1031" style="position:absolute;margin-left:155.55pt;margin-top:45.85pt;width:38.8pt;height:8pt;z-index:251663360" filled="f" strokecolor="red" strokeweight="1.5pt"/>
        </w:pict>
      </w:r>
      <w:r w:rsidR="00F84363">
        <w:rPr>
          <w:noProof/>
        </w:rPr>
        <w:drawing>
          <wp:inline distT="0" distB="0" distL="0" distR="0">
            <wp:extent cx="5010150" cy="314097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111" cy="314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63" w:rsidRDefault="00AA3DF7">
      <w:r>
        <w:rPr>
          <w:noProof/>
        </w:rPr>
        <w:pict>
          <v:rect id="_x0000_s1034" style="position:absolute;margin-left:258.35pt;margin-top:126.15pt;width:13.7pt;height:13.5pt;z-index:251666432" filled="f" strokecolor="red" strokeweight="1.5pt"/>
        </w:pict>
      </w:r>
      <w:r>
        <w:rPr>
          <w:noProof/>
        </w:rPr>
        <w:pict>
          <v:rect id="_x0000_s1033" style="position:absolute;margin-left:194.35pt;margin-top:128pt;width:36.95pt;height:11.65pt;z-index:251665408" filled="f" strokecolor="red" strokeweight="1.5pt"/>
        </w:pict>
      </w:r>
      <w:r w:rsidR="00C80247">
        <w:t xml:space="preserve">Click </w:t>
      </w:r>
      <w:r w:rsidR="00355157">
        <w:t>“</w:t>
      </w:r>
      <w:r w:rsidR="00C80247">
        <w:t>Edit Details,</w:t>
      </w:r>
      <w:r w:rsidR="00355157">
        <w:t>”</w:t>
      </w:r>
      <w:r w:rsidR="00C80247">
        <w:t xml:space="preserve"> check the Offering checkbox in the Accounting Integration section,</w:t>
      </w:r>
      <w:r w:rsidR="00355157">
        <w:t xml:space="preserve"> </w:t>
      </w:r>
      <w:r w:rsidR="00C80247">
        <w:t>and click the gear icon.</w:t>
      </w:r>
      <w:r w:rsidR="00C80247" w:rsidRPr="00C80247">
        <w:rPr>
          <w:noProof/>
        </w:rPr>
        <w:drawing>
          <wp:inline distT="0" distB="0" distL="0" distR="0">
            <wp:extent cx="5943600" cy="3924935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BC" w:rsidRDefault="00D856BC" w:rsidP="00C80247"/>
    <w:p w:rsidR="00EE7670" w:rsidRDefault="00EE7670" w:rsidP="00C80247"/>
    <w:p w:rsidR="00C80247" w:rsidRDefault="00C80247" w:rsidP="00C80247">
      <w:r>
        <w:lastRenderedPageBreak/>
        <w:t xml:space="preserve">Enter accounting credentials </w:t>
      </w:r>
      <w:r w:rsidR="00355157">
        <w:t>(</w:t>
      </w:r>
      <w:r>
        <w:t>if known), and click</w:t>
      </w:r>
      <w:r w:rsidR="00DC5D66">
        <w:t xml:space="preserve"> “Login”</w:t>
      </w:r>
      <w:r>
        <w:t>.</w:t>
      </w:r>
    </w:p>
    <w:p w:rsidR="00007118" w:rsidRDefault="00AA3DF7">
      <w:r>
        <w:rPr>
          <w:noProof/>
        </w:rPr>
        <w:pict>
          <v:rect id="_x0000_s1069" style="position:absolute;margin-left:213.9pt;margin-top:138.6pt;width:31.9pt;height:15.65pt;z-index:251700224" filled="f" strokecolor="red" strokeweight="1.5pt"/>
        </w:pict>
      </w:r>
      <w:r w:rsidR="006247EC">
        <w:rPr>
          <w:noProof/>
        </w:rPr>
        <w:drawing>
          <wp:inline distT="0" distB="0" distL="0" distR="0">
            <wp:extent cx="6270431" cy="331444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74" cy="331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58" w:rsidRDefault="008D7E58">
      <w:r>
        <w:t xml:space="preserve">If credentials must be entered by </w:t>
      </w:r>
      <w:r w:rsidR="00C80247">
        <w:t>a</w:t>
      </w:r>
      <w:r>
        <w:t xml:space="preserve"> staff member</w:t>
      </w:r>
      <w:r w:rsidR="00C80247">
        <w:t xml:space="preserve"> </w:t>
      </w:r>
      <w:r w:rsidR="00C80247" w:rsidRPr="00DD5B38">
        <w:rPr>
          <w:b/>
        </w:rPr>
        <w:t xml:space="preserve">without Administrative </w:t>
      </w:r>
      <w:r w:rsidR="00355157" w:rsidRPr="00DD5B38">
        <w:rPr>
          <w:b/>
        </w:rPr>
        <w:t>privileges</w:t>
      </w:r>
      <w:r>
        <w:t>, login and navigate to Offering &gt; Settings.</w:t>
      </w:r>
      <w:r w:rsidR="00314105">
        <w:t xml:space="preserve">  Enter accounting credentials and click </w:t>
      </w:r>
      <w:r w:rsidR="00355157">
        <w:t>“</w:t>
      </w:r>
      <w:r w:rsidR="00314105">
        <w:t>Save</w:t>
      </w:r>
      <w:r w:rsidR="00355157">
        <w:t>”</w:t>
      </w:r>
      <w:r w:rsidR="00314105">
        <w:t xml:space="preserve"> (this will save a record in Offering.Integration</w:t>
      </w:r>
      <w:r w:rsidR="00355157">
        <w:t>.</w:t>
      </w:r>
      <w:r w:rsidR="00314105">
        <w:t>Credentials).</w:t>
      </w:r>
    </w:p>
    <w:p w:rsidR="008D7E58" w:rsidRDefault="00AA3DF7">
      <w:r>
        <w:rPr>
          <w:noProof/>
        </w:rPr>
        <w:pict>
          <v:rect id="_x0000_s1036" style="position:absolute;margin-left:289.05pt;margin-top:52.4pt;width:36.95pt;height:11.65pt;z-index:251668480" filled="f" strokecolor="red" strokeweight="1.5pt"/>
        </w:pict>
      </w:r>
      <w:r>
        <w:rPr>
          <w:noProof/>
        </w:rPr>
        <w:pict>
          <v:rect id="_x0000_s1035" style="position:absolute;margin-left:94.3pt;margin-top:39.75pt;width:36.95pt;height:11.65pt;z-index:251667456" filled="f" strokecolor="red" strokeweight="1.5pt"/>
        </w:pict>
      </w:r>
      <w:r w:rsidR="008D7E58">
        <w:rPr>
          <w:noProof/>
        </w:rPr>
        <w:drawing>
          <wp:inline distT="0" distB="0" distL="0" distR="0">
            <wp:extent cx="5943600" cy="33293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18" w:rsidRDefault="00007118">
      <w:r>
        <w:t>At this point, the CN Membership user is now integrated with the CN Accounting user.</w:t>
      </w:r>
    </w:p>
    <w:p w:rsidR="00EE7670" w:rsidRDefault="00EE7670"/>
    <w:p w:rsidR="00EE7670" w:rsidRDefault="00EE7670"/>
    <w:p w:rsidR="00D856BC" w:rsidRDefault="00D856BC"/>
    <w:p w:rsidR="00D856BC" w:rsidRDefault="00D856BC"/>
    <w:p w:rsidR="003B6474" w:rsidRDefault="003B6474" w:rsidP="003B6474">
      <w:pPr>
        <w:pStyle w:val="Title"/>
      </w:pPr>
      <w:r>
        <w:lastRenderedPageBreak/>
        <w:t>Fund &amp; Batch Mapping</w:t>
      </w:r>
    </w:p>
    <w:p w:rsidR="00975538" w:rsidRPr="00251C7F" w:rsidRDefault="00975538">
      <w:pPr>
        <w:rPr>
          <w:b/>
          <w:sz w:val="24"/>
          <w:szCs w:val="24"/>
        </w:rPr>
      </w:pPr>
      <w:r w:rsidRPr="00251C7F">
        <w:rPr>
          <w:b/>
          <w:sz w:val="24"/>
          <w:szCs w:val="24"/>
        </w:rPr>
        <w:t>Fund Mapping</w:t>
      </w:r>
    </w:p>
    <w:p w:rsidR="003B6474" w:rsidRDefault="00AA3DF7" w:rsidP="00995F97">
      <w:r>
        <w:rPr>
          <w:noProof/>
        </w:rPr>
        <w:pict>
          <v:group id="_x0000_s1068" style="position:absolute;margin-left:58.55pt;margin-top:66.2pt;width:397.55pt;height:217.9pt;z-index:251699200" coordorigin="1891,10252" coordsize="7951,4358">
            <v:rect id="_x0000_s1044" style="position:absolute;left:2091;top:10916;width:3143;height:3531" strokecolor="#0070c0" strokeweight="1.5pt"/>
            <v:rect id="_x0000_s1046" style="position:absolute;left:6530;top:10916;width:3112;height:3531" strokecolor="#0070c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2687;top:11035;width:2292;height:401;mso-width-relative:margin;mso-height-relative:margin" stroked="f">
              <v:textbox style="mso-next-textbox:#_x0000_s1047">
                <w:txbxContent>
                  <w:p w:rsidR="00995F97" w:rsidRDefault="00995F97">
                    <w:r>
                      <w:t>Family Suite Funds</w:t>
                    </w:r>
                  </w:p>
                </w:txbxContent>
              </v:textbox>
            </v:shape>
            <v:shape id="_x0000_s1048" type="#_x0000_t202" style="position:absolute;left:6543;top:11103;width:3024;height:401;mso-width-relative:margin;mso-height-relative:margin" stroked="f">
              <v:textbox style="mso-next-textbox:#_x0000_s1048">
                <w:txbxContent>
                  <w:p w:rsidR="00995F97" w:rsidRDefault="00995F97" w:rsidP="00995F97">
                    <w:r>
                      <w:t>Accounting Revenue Accounts</w:t>
                    </w:r>
                  </w:p>
                </w:txbxContent>
              </v:textbox>
            </v:shape>
            <v:rect id="_x0000_s1049" style="position:absolute;left:2437;top:11579;width:2542;height:351" strokeweight="1pt"/>
            <v:rect id="_x0000_s1050" style="position:absolute;left:2437;top:12240;width:2542;height:351" strokeweight="1pt"/>
            <v:rect id="_x0000_s1051" style="position:absolute;left:2437;top:12845;width:2542;height:351" strokeweight="1pt"/>
            <v:rect id="_x0000_s1052" style="position:absolute;left:2437;top:13395;width:2542;height:351" strokeweight="1pt"/>
            <v:rect id="_x0000_s1053" style="position:absolute;left:2437;top:13921;width:2542;height:351" strokeweight="1pt"/>
            <v:rect id="_x0000_s1055" style="position:absolute;left:6753;top:13395;width:2542;height:351" strokeweight="1pt"/>
            <v:rect id="_x0000_s1056" style="position:absolute;left:6753;top:12845;width:2542;height:351" strokeweight="1pt"/>
            <v:rect id="_x0000_s1057" style="position:absolute;left:6753;top:11579;width:2542;height:351" strokeweight="1pt"/>
            <v:rect id="_x0000_s1058" style="position:absolute;left:6753;top:12240;width:2542;height:351" strokeweight="1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4979;top:11742;width:1774;height:0" o:connectortype="straight">
              <v:stroke endarrow="block"/>
            </v:shape>
            <v:shape id="_x0000_s1060" type="#_x0000_t32" style="position:absolute;left:4979;top:12393;width:1774;height:0" o:connectortype="straight">
              <v:stroke endarrow="block"/>
            </v:shape>
            <v:shape id="_x0000_s1061" type="#_x0000_t32" style="position:absolute;left:4979;top:12982;width:1774;height:0" o:connectortype="straight">
              <v:stroke endarrow="block"/>
            </v:shape>
            <v:shape id="_x0000_s1062" type="#_x0000_t32" style="position:absolute;left:4979;top:13520;width:1774;height:76" o:connectortype="straight">
              <v:stroke endarrow="block"/>
            </v:shape>
            <v:shape id="_x0000_s1063" type="#_x0000_t32" style="position:absolute;left:4979;top:13596;width:1774;height:438;flip:y" o:connectortype="straight">
              <v:stroke endarrow="block"/>
            </v:shape>
            <v:shape id="_x0000_s1065" type="#_x0000_t202" style="position:absolute;left:3530;top:10446;width:4977;height:413;mso-width-relative:margin;mso-height-relative:margin" stroked="f">
              <v:textbox style="mso-next-textbox:#_x0000_s1065">
                <w:txbxContent>
                  <w:p w:rsidR="00251C7F" w:rsidRDefault="00251C7F">
                    <w:r>
                      <w:t>Integration Fund to Revenue Account Relationships</w:t>
                    </w:r>
                  </w:p>
                </w:txbxContent>
              </v:textbox>
            </v:shape>
            <v:rect id="_x0000_s1066" style="position:absolute;left:1891;top:10252;width:7951;height:4358" filled="f" strokecolor="black [3213]" strokeweight="2.25pt"/>
          </v:group>
        </w:pict>
      </w:r>
      <w:r w:rsidR="00144815">
        <w:t>The next step is to map your funds.  This only needs to be done when there is a change to your ConnectNow Ac</w:t>
      </w:r>
      <w:r w:rsidR="00251C7F">
        <w:t>counting Chart of Accounts, or w</w:t>
      </w:r>
      <w:r w:rsidR="00144815">
        <w:t xml:space="preserve">hen you are adding or editing funds in ConnectNow Offering.  </w:t>
      </w:r>
      <w:r w:rsidR="00975538">
        <w:t>There is a one</w:t>
      </w:r>
      <w:r w:rsidR="00355157">
        <w:t>-</w:t>
      </w:r>
      <w:r w:rsidR="00975538">
        <w:t>to</w:t>
      </w:r>
      <w:r w:rsidR="00355157">
        <w:t>-</w:t>
      </w:r>
      <w:r w:rsidR="00975538">
        <w:t>one or a one</w:t>
      </w:r>
      <w:r w:rsidR="00355157">
        <w:t>-</w:t>
      </w:r>
      <w:r w:rsidR="00975538">
        <w:t>to</w:t>
      </w:r>
      <w:r w:rsidR="00355157">
        <w:t>-</w:t>
      </w:r>
      <w:r w:rsidR="00975538">
        <w:t>many relationship</w:t>
      </w:r>
      <w:r w:rsidR="00251C7F">
        <w:t xml:space="preserve"> Fund to Revenue Account</w:t>
      </w:r>
      <w:r w:rsidR="00975538">
        <w:t>.  You can have multiple funds in ConnectNow Family Suite associated or mapped to one revenue account in CN Accounting</w:t>
      </w:r>
      <w:r w:rsidR="00DC5D66">
        <w:t xml:space="preserve">, or one fund mapped to one revenue account. </w:t>
      </w:r>
    </w:p>
    <w:p w:rsidR="00975538" w:rsidRDefault="00975538"/>
    <w:p w:rsidR="00975538" w:rsidRDefault="00975538"/>
    <w:p w:rsidR="00975538" w:rsidRDefault="00975538"/>
    <w:p w:rsidR="00975538" w:rsidRDefault="00975538"/>
    <w:p w:rsidR="00975538" w:rsidRDefault="00975538"/>
    <w:p w:rsidR="00995F97" w:rsidRDefault="00995F97"/>
    <w:p w:rsidR="00995F97" w:rsidRDefault="00995F97"/>
    <w:p w:rsidR="00995F97" w:rsidRDefault="00995F97"/>
    <w:p w:rsidR="00995F97" w:rsidRDefault="00995F97"/>
    <w:p w:rsidR="00144815" w:rsidRDefault="00144815">
      <w:r>
        <w:t>In the Offering Module</w:t>
      </w:r>
      <w:r w:rsidR="00355157">
        <w:t>,</w:t>
      </w:r>
      <w:r>
        <w:t xml:space="preserve"> click on “Funds”.  For pre-existing funds</w:t>
      </w:r>
      <w:r w:rsidR="00355157">
        <w:t>,</w:t>
      </w:r>
      <w:r>
        <w:t xml:space="preserve"> select a fund with “Edit Fund” button.  </w:t>
      </w:r>
    </w:p>
    <w:p w:rsidR="00251C7F" w:rsidRDefault="00AA3DF7">
      <w:r>
        <w:rPr>
          <w:noProof/>
        </w:rPr>
        <w:pict>
          <v:rect id="_x0000_s1037" style="position:absolute;margin-left:19.1pt;margin-top:26.95pt;width:27.95pt;height:11.65pt;z-index:251669504" filled="f" strokecolor="red" strokeweight="1.5pt"/>
        </w:pict>
      </w:r>
      <w:r>
        <w:rPr>
          <w:noProof/>
        </w:rPr>
        <w:pict>
          <v:rect id="_x0000_s1038" style="position:absolute;margin-left:21.05pt;margin-top:189.6pt;width:14.7pt;height:11.65pt;z-index:251670528" filled="f" strokecolor="red" strokeweight="1.5pt"/>
        </w:pict>
      </w:r>
      <w:r w:rsidR="00144815">
        <w:t xml:space="preserve">       </w:t>
      </w:r>
      <w:r w:rsidR="00144815">
        <w:rPr>
          <w:noProof/>
        </w:rPr>
        <w:drawing>
          <wp:inline distT="0" distB="0" distL="0" distR="0">
            <wp:extent cx="4115628" cy="324482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85" cy="324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7F" w:rsidRDefault="00251C7F"/>
    <w:p w:rsidR="00314105" w:rsidRDefault="00314105"/>
    <w:p w:rsidR="00EE7670" w:rsidRDefault="00EE7670"/>
    <w:p w:rsidR="00975538" w:rsidRDefault="00975538">
      <w:r>
        <w:lastRenderedPageBreak/>
        <w:t>Click  “Edit”</w:t>
      </w:r>
    </w:p>
    <w:p w:rsidR="00975538" w:rsidRDefault="00AA3DF7">
      <w:r>
        <w:rPr>
          <w:noProof/>
        </w:rPr>
        <w:pict>
          <v:rect id="_x0000_s1040" style="position:absolute;margin-left:146.2pt;margin-top:151.05pt;width:28.9pt;height:16.9pt;z-index:251672576" filled="f" strokecolor="red" strokeweight="1.5pt"/>
        </w:pict>
      </w:r>
      <w:r w:rsidR="00975538">
        <w:t xml:space="preserve">        </w:t>
      </w:r>
      <w:r w:rsidR="00975538">
        <w:rPr>
          <w:noProof/>
        </w:rPr>
        <w:drawing>
          <wp:inline distT="0" distB="0" distL="0" distR="0">
            <wp:extent cx="3940700" cy="2262804"/>
            <wp:effectExtent l="19050" t="0" r="26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00" cy="226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538" w:rsidRDefault="00975538">
      <w:r>
        <w:t xml:space="preserve">Then </w:t>
      </w:r>
      <w:r w:rsidR="00355157">
        <w:t>s</w:t>
      </w:r>
      <w:r>
        <w:t>elect a “Revenue Account” from the drop down menu, and click “Save”.</w:t>
      </w:r>
    </w:p>
    <w:p w:rsidR="00975538" w:rsidRDefault="00AA3DF7">
      <w:r>
        <w:rPr>
          <w:noProof/>
        </w:rPr>
        <w:pict>
          <v:rect id="_x0000_s1039" style="position:absolute;margin-left:135.55pt;margin-top:144.3pt;width:26.3pt;height:14.25pt;z-index:251671552" filled="f" strokecolor="red" strokeweight="1.5pt"/>
        </w:pict>
      </w:r>
      <w:r>
        <w:rPr>
          <w:noProof/>
        </w:rPr>
        <w:pict>
          <v:rect id="_x0000_s1041" style="position:absolute;margin-left:94.9pt;margin-top:97.35pt;width:152.7pt;height:14.4pt;z-index:251673600" filled="f" strokecolor="red" strokeweight="1.5pt"/>
        </w:pict>
      </w:r>
      <w:r w:rsidR="00975538">
        <w:t xml:space="preserve">         </w:t>
      </w:r>
      <w:r w:rsidR="00975538">
        <w:rPr>
          <w:noProof/>
        </w:rPr>
        <w:drawing>
          <wp:inline distT="0" distB="0" distL="0" distR="0">
            <wp:extent cx="3551086" cy="208170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92" cy="208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79" w:rsidRDefault="00B47479"/>
    <w:p w:rsidR="00B35086" w:rsidRDefault="00251C7F" w:rsidP="00B35086">
      <w:pPr>
        <w:spacing w:line="240" w:lineRule="auto"/>
        <w:rPr>
          <w:b/>
          <w:sz w:val="24"/>
          <w:szCs w:val="24"/>
        </w:rPr>
      </w:pPr>
      <w:r w:rsidRPr="00251C7F">
        <w:rPr>
          <w:b/>
          <w:sz w:val="24"/>
          <w:szCs w:val="24"/>
        </w:rPr>
        <w:t>Batch Mapping</w:t>
      </w:r>
    </w:p>
    <w:p w:rsidR="00251C7F" w:rsidRPr="00B35086" w:rsidRDefault="00251C7F" w:rsidP="00B35086">
      <w:pPr>
        <w:spacing w:line="240" w:lineRule="auto"/>
        <w:rPr>
          <w:b/>
          <w:sz w:val="24"/>
          <w:szCs w:val="24"/>
        </w:rPr>
      </w:pPr>
      <w:r>
        <w:t xml:space="preserve">When ConnectNow Family Suite is integrated with ConnectNow Accounting </w:t>
      </w:r>
      <w:r w:rsidR="00DC5D66">
        <w:t xml:space="preserve">one </w:t>
      </w:r>
      <w:r w:rsidR="00355157">
        <w:t>“</w:t>
      </w:r>
      <w:r w:rsidR="00DC5D66">
        <w:t>Batch</w:t>
      </w:r>
      <w:r w:rsidR="00355157">
        <w:t>”</w:t>
      </w:r>
      <w:r w:rsidR="00DC5D66">
        <w:t xml:space="preserve"> in the Family Suite is Equal to one deposit in Accounting.  This means that there is a one</w:t>
      </w:r>
      <w:r w:rsidR="00355157">
        <w:t>-</w:t>
      </w:r>
      <w:r w:rsidR="00DC5D66">
        <w:t>to</w:t>
      </w:r>
      <w:r w:rsidR="00355157">
        <w:t>-</w:t>
      </w:r>
      <w:r w:rsidR="00DC5D66">
        <w:t>one relationship, batch</w:t>
      </w:r>
      <w:r w:rsidR="00355157">
        <w:t>-</w:t>
      </w:r>
      <w:r w:rsidR="00DC5D66">
        <w:t>to</w:t>
      </w:r>
      <w:r w:rsidR="00355157">
        <w:t>-</w:t>
      </w:r>
      <w:r w:rsidR="00DC5D66">
        <w:t xml:space="preserve">bank account.  This process is done for every batch you create.  It can be done when the batch is created, or just prior to closing a batch. </w:t>
      </w:r>
    </w:p>
    <w:p w:rsidR="00DC5D66" w:rsidRDefault="00DC5D66">
      <w:r>
        <w:t>In the Offering Module click on “Batches</w:t>
      </w:r>
      <w:r w:rsidR="00355157">
        <w:t>,</w:t>
      </w:r>
      <w:r>
        <w:t>”</w:t>
      </w:r>
      <w:r w:rsidR="00386F2D">
        <w:t xml:space="preserve"> for a pre-existing batch select a batch by clicking on the “Edit Batch” Button.</w:t>
      </w:r>
    </w:p>
    <w:p w:rsidR="00DC5D66" w:rsidRDefault="00AA3DF7">
      <w:r>
        <w:rPr>
          <w:noProof/>
        </w:rPr>
        <w:pict>
          <v:rect id="_x0000_s1072" style="position:absolute;margin-left:34.15pt;margin-top:15.95pt;width:31.95pt;height:10.6pt;z-index:251702272" filled="f" strokecolor="red" strokeweight="1.5pt"/>
        </w:pict>
      </w:r>
      <w:r>
        <w:rPr>
          <w:noProof/>
        </w:rPr>
        <w:pict>
          <v:rect id="_x0000_s1071" style="position:absolute;margin-left:25.3pt;margin-top:113.95pt;width:11.35pt;height:9.7pt;z-index:251701248" filled="f" strokecolor="red" strokeweight="1.5pt"/>
        </w:pict>
      </w:r>
      <w:r w:rsidR="00DC5D66">
        <w:rPr>
          <w:noProof/>
        </w:rPr>
        <w:drawing>
          <wp:inline distT="0" distB="0" distL="0" distR="0">
            <wp:extent cx="3741917" cy="2039514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98" cy="205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670" w:rsidRDefault="00EE7670"/>
    <w:p w:rsidR="00EE7670" w:rsidRDefault="00EE7670"/>
    <w:p w:rsidR="00DC5D66" w:rsidRDefault="00386F2D">
      <w:r>
        <w:lastRenderedPageBreak/>
        <w:t>Click “Edit”</w:t>
      </w:r>
    </w:p>
    <w:p w:rsidR="00386F2D" w:rsidRDefault="00AA3DF7">
      <w:r>
        <w:rPr>
          <w:noProof/>
        </w:rPr>
        <w:pict>
          <v:rect id="_x0000_s1073" style="position:absolute;margin-left:225.65pt;margin-top:134.1pt;width:32.55pt;height:17.5pt;z-index:251703296" filled="f" strokecolor="red" strokeweight="1.5pt"/>
        </w:pict>
      </w:r>
      <w:r w:rsidR="00386F2D">
        <w:rPr>
          <w:noProof/>
        </w:rPr>
        <w:drawing>
          <wp:inline distT="0" distB="0" distL="0" distR="0">
            <wp:extent cx="5946678" cy="1963972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60" cy="196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66" w:rsidRDefault="00386F2D">
      <w:r>
        <w:t>Select a “Bank Account” from the drop down menu, and click “Save”</w:t>
      </w:r>
    </w:p>
    <w:p w:rsidR="00DC5D66" w:rsidRDefault="00AA3DF7">
      <w:pPr>
        <w:rPr>
          <w:noProof/>
        </w:rPr>
      </w:pPr>
      <w:r>
        <w:rPr>
          <w:noProof/>
        </w:rPr>
        <w:pict>
          <v:rect id="_x0000_s1075" style="position:absolute;margin-left:221.1pt;margin-top:151.1pt;width:28.35pt;height:13.75pt;z-index:251705344" filled="f" strokecolor="red" strokeweight="1.5pt"/>
        </w:pict>
      </w:r>
      <w:r>
        <w:rPr>
          <w:noProof/>
        </w:rPr>
        <w:pict>
          <v:rect id="_x0000_s1074" style="position:absolute;margin-left:84.3pt;margin-top:36.55pt;width:83.2pt;height:13.75pt;z-index:251704320" filled="f" strokecolor="red" strokeweight="1.5pt"/>
        </w:pict>
      </w:r>
      <w:r w:rsidR="00386F2D">
        <w:rPr>
          <w:noProof/>
        </w:rPr>
        <w:t xml:space="preserve">      </w:t>
      </w:r>
      <w:r w:rsidR="00DC5D66">
        <w:rPr>
          <w:noProof/>
        </w:rPr>
        <w:drawing>
          <wp:inline distT="0" distB="0" distL="0" distR="0">
            <wp:extent cx="5364472" cy="2138901"/>
            <wp:effectExtent l="19050" t="0" r="7628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171" cy="214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86" w:rsidRDefault="00B35086">
      <w:pPr>
        <w:rPr>
          <w:noProof/>
        </w:rPr>
      </w:pPr>
      <w:r>
        <w:rPr>
          <w:noProof/>
        </w:rPr>
        <w:t>Click “Close”</w:t>
      </w:r>
    </w:p>
    <w:p w:rsidR="00B35086" w:rsidRPr="00251C7F" w:rsidRDefault="00AA3DF7">
      <w:r>
        <w:rPr>
          <w:noProof/>
        </w:rPr>
        <w:pict>
          <v:rect id="_x0000_s1076" style="position:absolute;margin-left:255.75pt;margin-top:135.4pt;width:28.35pt;height:13.75pt;z-index:251706368" filled="f" strokecolor="red" strokeweight="1.5pt"/>
        </w:pict>
      </w:r>
      <w:r w:rsidR="00B35086" w:rsidRPr="00B35086">
        <w:rPr>
          <w:noProof/>
        </w:rPr>
        <w:drawing>
          <wp:inline distT="0" distB="0" distL="0" distR="0">
            <wp:extent cx="5946678" cy="1963972"/>
            <wp:effectExtent l="19050" t="0" r="0" b="0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60" cy="196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086" w:rsidRPr="00251C7F" w:rsidSect="0036406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2A" w:rsidRDefault="0024772A" w:rsidP="00251C7F">
      <w:pPr>
        <w:spacing w:after="0" w:line="240" w:lineRule="auto"/>
      </w:pPr>
      <w:r>
        <w:separator/>
      </w:r>
    </w:p>
  </w:endnote>
  <w:endnote w:type="continuationSeparator" w:id="0">
    <w:p w:rsidR="0024772A" w:rsidRDefault="0024772A" w:rsidP="0025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2A" w:rsidRDefault="0024772A" w:rsidP="00251C7F">
      <w:pPr>
        <w:spacing w:after="0" w:line="240" w:lineRule="auto"/>
      </w:pPr>
      <w:r>
        <w:separator/>
      </w:r>
    </w:p>
  </w:footnote>
  <w:footnote w:type="continuationSeparator" w:id="0">
    <w:p w:rsidR="0024772A" w:rsidRDefault="0024772A" w:rsidP="0025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B5F"/>
    <w:multiLevelType w:val="hybridMultilevel"/>
    <w:tmpl w:val="617EA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363"/>
    <w:rsid w:val="00007118"/>
    <w:rsid w:val="000F3D01"/>
    <w:rsid w:val="00144815"/>
    <w:rsid w:val="001F052E"/>
    <w:rsid w:val="0024772A"/>
    <w:rsid w:val="00251C7F"/>
    <w:rsid w:val="002D1AD1"/>
    <w:rsid w:val="002E50DA"/>
    <w:rsid w:val="00314105"/>
    <w:rsid w:val="00355157"/>
    <w:rsid w:val="00364067"/>
    <w:rsid w:val="00386F2D"/>
    <w:rsid w:val="003B6474"/>
    <w:rsid w:val="006247EC"/>
    <w:rsid w:val="006B2056"/>
    <w:rsid w:val="00827D69"/>
    <w:rsid w:val="0089763C"/>
    <w:rsid w:val="008D7E58"/>
    <w:rsid w:val="00966D1E"/>
    <w:rsid w:val="00975538"/>
    <w:rsid w:val="00995F97"/>
    <w:rsid w:val="00A87DDB"/>
    <w:rsid w:val="00AA3DF7"/>
    <w:rsid w:val="00B35086"/>
    <w:rsid w:val="00B47479"/>
    <w:rsid w:val="00BD043D"/>
    <w:rsid w:val="00C6564C"/>
    <w:rsid w:val="00C80247"/>
    <w:rsid w:val="00CF1C7F"/>
    <w:rsid w:val="00D106C7"/>
    <w:rsid w:val="00D856BC"/>
    <w:rsid w:val="00DC5D66"/>
    <w:rsid w:val="00DD5B38"/>
    <w:rsid w:val="00E737B7"/>
    <w:rsid w:val="00EE7670"/>
    <w:rsid w:val="00F84363"/>
    <w:rsid w:val="00FA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4"/>
    <o:shapelayout v:ext="edit">
      <o:idmap v:ext="edit" data="1"/>
      <o:rules v:ext="edit">
        <o:r id="V:Rule6" type="connector" idref="#_x0000_s1062"/>
        <o:r id="V:Rule7" type="connector" idref="#_x0000_s1059"/>
        <o:r id="V:Rule8" type="connector" idref="#_x0000_s1061"/>
        <o:r id="V:Rule9" type="connector" idref="#_x0000_s1060"/>
        <o:r id="V:Rule10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71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D5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C7F"/>
  </w:style>
  <w:style w:type="paragraph" w:styleId="Footer">
    <w:name w:val="footer"/>
    <w:basedOn w:val="Normal"/>
    <w:link w:val="FooterChar"/>
    <w:uiPriority w:val="99"/>
    <w:unhideWhenUsed/>
    <w:rsid w:val="0025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71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ParishSOFT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Ringbloom</dc:creator>
  <cp:lastModifiedBy>Sara Evers</cp:lastModifiedBy>
  <cp:revision>2</cp:revision>
  <dcterms:created xsi:type="dcterms:W3CDTF">2015-08-12T13:14:00Z</dcterms:created>
  <dcterms:modified xsi:type="dcterms:W3CDTF">2015-08-12T13:14:00Z</dcterms:modified>
</cp:coreProperties>
</file>